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26/B/Wi/410101-11/01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Göhre Gesamtsanierung: Objektplanung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Objektplanung nach Teil 3 HOAI, Abschnitt 1, Gebäude und Innenräume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